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32D1A" w14:textId="77777777" w:rsidR="00BC7564" w:rsidRDefault="00BC7564" w:rsidP="00BC7564">
      <w:bookmarkStart w:id="0" w:name="_Hlk175324095"/>
    </w:p>
    <w:p w14:paraId="6FADCAB2" w14:textId="61502D86" w:rsidR="005526F1" w:rsidRPr="005526F1" w:rsidRDefault="005526F1" w:rsidP="00BC7564">
      <w:pPr>
        <w:rPr>
          <w:rFonts w:ascii="Garamond" w:hAnsi="Garamond"/>
          <w:b/>
          <w:bCs/>
          <w:sz w:val="24"/>
          <w:szCs w:val="24"/>
        </w:rPr>
      </w:pPr>
      <w:r w:rsidRPr="005526F1">
        <w:rPr>
          <w:rFonts w:ascii="Garamond" w:hAnsi="Garamond"/>
          <w:b/>
          <w:bCs/>
          <w:sz w:val="24"/>
          <w:szCs w:val="24"/>
        </w:rPr>
        <w:t>Proposal to accommodate tools which are in the dual role of ICT / SCT</w:t>
      </w:r>
    </w:p>
    <w:p w14:paraId="797CA650" w14:textId="1DB624C8" w:rsidR="00BC7564" w:rsidRPr="00800A02" w:rsidRDefault="005526F1" w:rsidP="00BC7564">
      <w:pPr>
        <w:rPr>
          <w:rFonts w:ascii="Garamond" w:hAnsi="Garamond"/>
          <w:sz w:val="24"/>
          <w:szCs w:val="24"/>
        </w:rPr>
      </w:pPr>
      <w:r>
        <w:rPr>
          <w:rFonts w:ascii="Garamond" w:hAnsi="Garamond"/>
          <w:sz w:val="24"/>
          <w:szCs w:val="24"/>
        </w:rPr>
        <w:t>In regard to</w:t>
      </w:r>
      <w:r w:rsidR="00BC7564" w:rsidRPr="00800A02">
        <w:rPr>
          <w:rFonts w:ascii="Garamond" w:hAnsi="Garamond"/>
          <w:sz w:val="24"/>
          <w:szCs w:val="24"/>
        </w:rPr>
        <w:t xml:space="preserve"> </w:t>
      </w:r>
      <w:hyperlink r:id="rId5" w:history="1">
        <w:r w:rsidR="00BC7564" w:rsidRPr="00800A02">
          <w:rPr>
            <w:rStyle w:val="Hyperlink"/>
            <w:rFonts w:ascii="Garamond" w:hAnsi="Garamond"/>
            <w:sz w:val="24"/>
            <w:szCs w:val="24"/>
          </w:rPr>
          <w:t>https://redmine.ucaiug.org/issues/6617</w:t>
        </w:r>
      </w:hyperlink>
      <w:r>
        <w:rPr>
          <w:rFonts w:ascii="Garamond" w:hAnsi="Garamond"/>
          <w:sz w:val="24"/>
          <w:szCs w:val="24"/>
        </w:rPr>
        <w:t>, concerning</w:t>
      </w:r>
      <w:r w:rsidR="00BC7564" w:rsidRPr="00800A02">
        <w:rPr>
          <w:rFonts w:ascii="Garamond" w:hAnsi="Garamond"/>
          <w:sz w:val="24"/>
          <w:szCs w:val="24"/>
        </w:rPr>
        <w:t xml:space="preserve"> tools being conformance tested in an ICT role that allow modification of data model or communications configuration.</w:t>
      </w:r>
      <w:r w:rsidR="00C9267A" w:rsidRPr="00800A02">
        <w:rPr>
          <w:rFonts w:ascii="Garamond" w:hAnsi="Garamond"/>
          <w:sz w:val="24"/>
          <w:szCs w:val="24"/>
        </w:rPr>
        <w:t xml:space="preserve">  This is an outstanding discrepancy that hinders </w:t>
      </w:r>
      <w:r w:rsidR="0094553D" w:rsidRPr="00800A02">
        <w:rPr>
          <w:rFonts w:ascii="Garamond" w:hAnsi="Garamond"/>
          <w:sz w:val="24"/>
          <w:szCs w:val="24"/>
        </w:rPr>
        <w:t>good engineering practices for tools with combined roles.</w:t>
      </w:r>
    </w:p>
    <w:p w14:paraId="3E0547F8" w14:textId="32B563DB" w:rsidR="00BC7564" w:rsidRPr="00800A02" w:rsidRDefault="00BC7564" w:rsidP="00BC7564">
      <w:pPr>
        <w:rPr>
          <w:rFonts w:ascii="Garamond" w:hAnsi="Garamond"/>
          <w:sz w:val="24"/>
          <w:szCs w:val="24"/>
        </w:rPr>
      </w:pPr>
      <w:r w:rsidRPr="00800A02">
        <w:rPr>
          <w:rFonts w:ascii="Garamond" w:hAnsi="Garamond"/>
          <w:sz w:val="24"/>
          <w:szCs w:val="24"/>
        </w:rPr>
        <w:t>This regards three test cases, this is from 61850-10 Amd. 1 Ed. 2 draft:</w:t>
      </w:r>
    </w:p>
    <w:p w14:paraId="5389B5E2" w14:textId="77777777" w:rsidR="00BC7564" w:rsidRPr="00800A02" w:rsidRDefault="00BC7564" w:rsidP="00BC7564">
      <w:pPr>
        <w:rPr>
          <w:rFonts w:ascii="Garamond" w:hAnsi="Garamond"/>
          <w:sz w:val="24"/>
          <w:szCs w:val="24"/>
        </w:rPr>
      </w:pPr>
    </w:p>
    <w:p w14:paraId="3595386D" w14:textId="07593F20" w:rsidR="00BC7564" w:rsidRPr="00800A02" w:rsidRDefault="00BC7564" w:rsidP="00BC7564">
      <w:pPr>
        <w:rPr>
          <w:rFonts w:ascii="Garamond" w:hAnsi="Garamond"/>
          <w:sz w:val="24"/>
          <w:szCs w:val="24"/>
        </w:rPr>
      </w:pPr>
      <w:r w:rsidRPr="00800A02">
        <w:rPr>
          <w:rFonts w:ascii="Garamond" w:hAnsi="Garamond"/>
          <w:noProof/>
          <w:sz w:val="24"/>
          <w:szCs w:val="24"/>
        </w:rPr>
        <w:drawing>
          <wp:inline distT="0" distB="0" distL="0" distR="0" wp14:anchorId="05D76AF2" wp14:editId="5C07219D">
            <wp:extent cx="5943600" cy="1553845"/>
            <wp:effectExtent l="0" t="0" r="0" b="8255"/>
            <wp:docPr id="1837410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10875" name=""/>
                    <pic:cNvPicPr/>
                  </pic:nvPicPr>
                  <pic:blipFill>
                    <a:blip r:embed="rId6"/>
                    <a:stretch>
                      <a:fillRect/>
                    </a:stretch>
                  </pic:blipFill>
                  <pic:spPr>
                    <a:xfrm>
                      <a:off x="0" y="0"/>
                      <a:ext cx="5943600" cy="1553845"/>
                    </a:xfrm>
                    <a:prstGeom prst="rect">
                      <a:avLst/>
                    </a:prstGeom>
                  </pic:spPr>
                </pic:pic>
              </a:graphicData>
            </a:graphic>
          </wp:inline>
        </w:drawing>
      </w:r>
    </w:p>
    <w:p w14:paraId="053022CC" w14:textId="77777777" w:rsidR="00BC7564" w:rsidRPr="00800A02" w:rsidRDefault="00BC7564" w:rsidP="00BC7564">
      <w:pPr>
        <w:rPr>
          <w:rFonts w:ascii="Garamond" w:hAnsi="Garamond"/>
          <w:sz w:val="24"/>
          <w:szCs w:val="24"/>
        </w:rPr>
      </w:pPr>
    </w:p>
    <w:p w14:paraId="5C5E225B" w14:textId="55F0FCA2" w:rsidR="00BC7564" w:rsidRPr="00800A02" w:rsidRDefault="005526F1" w:rsidP="00BC7564">
      <w:pPr>
        <w:rPr>
          <w:rFonts w:ascii="Garamond" w:hAnsi="Garamond"/>
          <w:sz w:val="24"/>
          <w:szCs w:val="24"/>
        </w:rPr>
      </w:pPr>
      <w:r>
        <w:rPr>
          <w:rFonts w:ascii="Garamond" w:hAnsi="Garamond"/>
          <w:sz w:val="24"/>
          <w:szCs w:val="24"/>
        </w:rPr>
        <w:t>These are presumably</w:t>
      </w:r>
      <w:r w:rsidR="00BC7564" w:rsidRPr="00800A02">
        <w:rPr>
          <w:rFonts w:ascii="Garamond" w:hAnsi="Garamond"/>
          <w:sz w:val="24"/>
          <w:szCs w:val="24"/>
        </w:rPr>
        <w:t xml:space="preserve"> derived from I35 in the 61850-6 SICS table:</w:t>
      </w:r>
    </w:p>
    <w:p w14:paraId="7F4BA87E" w14:textId="77777777" w:rsidR="00BC7564" w:rsidRPr="00800A02" w:rsidRDefault="00BC7564" w:rsidP="00BC7564">
      <w:pPr>
        <w:rPr>
          <w:rFonts w:ascii="Garamond" w:hAnsi="Garamond"/>
          <w:sz w:val="24"/>
          <w:szCs w:val="24"/>
        </w:rPr>
      </w:pPr>
    </w:p>
    <w:p w14:paraId="56EF49BE" w14:textId="0C802D89" w:rsidR="00BC7564" w:rsidRPr="00800A02" w:rsidRDefault="00BC7564" w:rsidP="00BC7564">
      <w:pPr>
        <w:rPr>
          <w:rFonts w:ascii="Garamond" w:hAnsi="Garamond"/>
          <w:sz w:val="24"/>
          <w:szCs w:val="24"/>
        </w:rPr>
      </w:pPr>
      <w:r w:rsidRPr="00800A02">
        <w:rPr>
          <w:rFonts w:ascii="Garamond" w:hAnsi="Garamond"/>
          <w:noProof/>
          <w:sz w:val="24"/>
          <w:szCs w:val="24"/>
        </w:rPr>
        <w:drawing>
          <wp:inline distT="0" distB="0" distL="0" distR="0" wp14:anchorId="2C5FA58E" wp14:editId="5984055E">
            <wp:extent cx="5943600" cy="634365"/>
            <wp:effectExtent l="0" t="0" r="0" b="0"/>
            <wp:docPr id="123408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8966" name=""/>
                    <pic:cNvPicPr/>
                  </pic:nvPicPr>
                  <pic:blipFill>
                    <a:blip r:embed="rId7"/>
                    <a:stretch>
                      <a:fillRect/>
                    </a:stretch>
                  </pic:blipFill>
                  <pic:spPr>
                    <a:xfrm>
                      <a:off x="0" y="0"/>
                      <a:ext cx="5943600" cy="634365"/>
                    </a:xfrm>
                    <a:prstGeom prst="rect">
                      <a:avLst/>
                    </a:prstGeom>
                  </pic:spPr>
                </pic:pic>
              </a:graphicData>
            </a:graphic>
          </wp:inline>
        </w:drawing>
      </w:r>
    </w:p>
    <w:p w14:paraId="6460BEF6" w14:textId="77777777" w:rsidR="00BC7564" w:rsidRPr="00800A02" w:rsidRDefault="00BC7564" w:rsidP="00BC7564">
      <w:pPr>
        <w:rPr>
          <w:rFonts w:ascii="Garamond" w:hAnsi="Garamond"/>
          <w:sz w:val="24"/>
          <w:szCs w:val="24"/>
        </w:rPr>
      </w:pPr>
    </w:p>
    <w:p w14:paraId="50525F21" w14:textId="145E80DB" w:rsidR="0094553D" w:rsidRPr="00800A02" w:rsidRDefault="0094553D" w:rsidP="0094553D">
      <w:pPr>
        <w:rPr>
          <w:rFonts w:ascii="Garamond" w:hAnsi="Garamond"/>
          <w:sz w:val="24"/>
          <w:szCs w:val="24"/>
        </w:rPr>
      </w:pPr>
      <w:r w:rsidRPr="00800A02">
        <w:rPr>
          <w:rFonts w:ascii="Garamond" w:hAnsi="Garamond"/>
          <w:b/>
          <w:bCs/>
          <w:sz w:val="24"/>
          <w:szCs w:val="24"/>
        </w:rPr>
        <w:t>Problem:</w:t>
      </w:r>
      <w:r w:rsidRPr="00800A02">
        <w:rPr>
          <w:rFonts w:ascii="Garamond" w:hAnsi="Garamond"/>
          <w:sz w:val="24"/>
          <w:szCs w:val="24"/>
        </w:rPr>
        <w:t xml:space="preserve"> </w:t>
      </w:r>
      <w:r w:rsidR="00BC7564" w:rsidRPr="00800A02">
        <w:rPr>
          <w:rFonts w:ascii="Garamond" w:hAnsi="Garamond"/>
          <w:sz w:val="24"/>
          <w:szCs w:val="24"/>
        </w:rPr>
        <w:t xml:space="preserve">The issue is that some software tools act as both SCT and ICT, and when they are in the role of an SCT they can in fact freely modify the above items.  Which creates a discrepancy </w:t>
      </w:r>
      <w:r w:rsidR="00A51B88" w:rsidRPr="00800A02">
        <w:rPr>
          <w:rFonts w:ascii="Garamond" w:hAnsi="Garamond"/>
          <w:sz w:val="24"/>
          <w:szCs w:val="24"/>
        </w:rPr>
        <w:t xml:space="preserve">when </w:t>
      </w:r>
      <w:r w:rsidRPr="00800A02">
        <w:rPr>
          <w:rFonts w:ascii="Garamond" w:hAnsi="Garamond"/>
          <w:sz w:val="24"/>
          <w:szCs w:val="24"/>
        </w:rPr>
        <w:t xml:space="preserve">the same tool is </w:t>
      </w:r>
      <w:r w:rsidR="00A51B88" w:rsidRPr="00800A02">
        <w:rPr>
          <w:rFonts w:ascii="Garamond" w:hAnsi="Garamond"/>
          <w:sz w:val="24"/>
          <w:szCs w:val="24"/>
        </w:rPr>
        <w:t>also being submitted for ICT conformance</w:t>
      </w:r>
      <w:r w:rsidR="00BC7564" w:rsidRPr="00800A02">
        <w:rPr>
          <w:rFonts w:ascii="Garamond" w:hAnsi="Garamond"/>
          <w:sz w:val="24"/>
          <w:szCs w:val="24"/>
        </w:rPr>
        <w:t>.</w:t>
      </w:r>
      <w:r w:rsidR="00A94757" w:rsidRPr="00800A02">
        <w:rPr>
          <w:rFonts w:ascii="Garamond" w:hAnsi="Garamond"/>
          <w:sz w:val="24"/>
          <w:szCs w:val="24"/>
        </w:rPr>
        <w:t xml:space="preserve">  The </w:t>
      </w:r>
      <w:r w:rsidRPr="00800A02">
        <w:rPr>
          <w:rFonts w:ascii="Garamond" w:hAnsi="Garamond"/>
          <w:sz w:val="24"/>
          <w:szCs w:val="24"/>
        </w:rPr>
        <w:t xml:space="preserve">SICS </w:t>
      </w:r>
      <w:r w:rsidR="00A94757" w:rsidRPr="00800A02">
        <w:rPr>
          <w:rFonts w:ascii="Garamond" w:hAnsi="Garamond"/>
          <w:sz w:val="24"/>
          <w:szCs w:val="24"/>
        </w:rPr>
        <w:t xml:space="preserve">is currently </w:t>
      </w:r>
      <w:r w:rsidR="00337BBA" w:rsidRPr="00800A02">
        <w:rPr>
          <w:rFonts w:ascii="Garamond" w:hAnsi="Garamond"/>
          <w:sz w:val="24"/>
          <w:szCs w:val="24"/>
        </w:rPr>
        <w:t>more</w:t>
      </w:r>
      <w:r w:rsidR="00A94757" w:rsidRPr="00800A02">
        <w:rPr>
          <w:rFonts w:ascii="Garamond" w:hAnsi="Garamond"/>
          <w:sz w:val="24"/>
          <w:szCs w:val="24"/>
        </w:rPr>
        <w:t xml:space="preserve"> rigid</w:t>
      </w:r>
      <w:r w:rsidR="00337BBA" w:rsidRPr="00800A02">
        <w:rPr>
          <w:rFonts w:ascii="Garamond" w:hAnsi="Garamond"/>
          <w:sz w:val="24"/>
          <w:szCs w:val="24"/>
        </w:rPr>
        <w:t xml:space="preserve"> than what is useful for </w:t>
      </w:r>
      <w:r w:rsidRPr="00800A02">
        <w:rPr>
          <w:rFonts w:ascii="Garamond" w:hAnsi="Garamond"/>
          <w:sz w:val="24"/>
          <w:szCs w:val="24"/>
        </w:rPr>
        <w:t>users</w:t>
      </w:r>
      <w:r w:rsidR="00337BBA" w:rsidRPr="00800A02">
        <w:rPr>
          <w:rFonts w:ascii="Garamond" w:hAnsi="Garamond"/>
          <w:sz w:val="24"/>
          <w:szCs w:val="24"/>
        </w:rPr>
        <w:t xml:space="preserve"> in this area.</w:t>
      </w:r>
      <w:r w:rsidRPr="00800A02">
        <w:rPr>
          <w:rFonts w:ascii="Garamond" w:hAnsi="Garamond"/>
          <w:sz w:val="24"/>
          <w:szCs w:val="24"/>
        </w:rPr>
        <w:t xml:space="preserve">  This is counter to the principle expressed in 61850-6:</w:t>
      </w:r>
    </w:p>
    <w:p w14:paraId="257F0B64" w14:textId="1918A74C" w:rsidR="00A94757" w:rsidRPr="00800A02" w:rsidRDefault="0094553D" w:rsidP="0094553D">
      <w:pPr>
        <w:pStyle w:val="ListParagraph"/>
        <w:numPr>
          <w:ilvl w:val="0"/>
          <w:numId w:val="1"/>
        </w:numPr>
        <w:rPr>
          <w:rFonts w:ascii="Garamond" w:hAnsi="Garamond"/>
          <w:sz w:val="24"/>
          <w:szCs w:val="24"/>
        </w:rPr>
      </w:pPr>
      <w:r w:rsidRPr="00800A02">
        <w:rPr>
          <w:rFonts w:ascii="Garamond" w:hAnsi="Garamond"/>
          <w:sz w:val="24"/>
          <w:szCs w:val="24"/>
        </w:rPr>
        <w:t>"NOTE It is not in the scope of this standard to define any details of concrete software tools, which support an engineer in doing the intended engineering process with SCL as described above...Each manufacturer is completely free to find the best way to support engineers by a specific software tool."</w:t>
      </w:r>
    </w:p>
    <w:p w14:paraId="0326EC7C" w14:textId="77777777" w:rsidR="0094553D" w:rsidRPr="00800A02" w:rsidRDefault="0094553D" w:rsidP="0094553D">
      <w:pPr>
        <w:rPr>
          <w:rFonts w:ascii="Garamond" w:hAnsi="Garamond"/>
          <w:sz w:val="24"/>
          <w:szCs w:val="24"/>
        </w:rPr>
      </w:pPr>
    </w:p>
    <w:p w14:paraId="4E2BBE0C" w14:textId="728CA95B" w:rsidR="00BC7564" w:rsidRPr="00800A02" w:rsidRDefault="0094553D" w:rsidP="00BC7564">
      <w:pPr>
        <w:rPr>
          <w:rFonts w:ascii="Garamond" w:hAnsi="Garamond"/>
          <w:sz w:val="24"/>
          <w:szCs w:val="24"/>
        </w:rPr>
      </w:pPr>
      <w:r w:rsidRPr="00800A02">
        <w:rPr>
          <w:rFonts w:ascii="Garamond" w:hAnsi="Garamond"/>
          <w:b/>
          <w:bCs/>
          <w:sz w:val="24"/>
          <w:szCs w:val="24"/>
        </w:rPr>
        <w:t>Proposed:</w:t>
      </w:r>
      <w:r w:rsidRPr="00800A02">
        <w:rPr>
          <w:rFonts w:ascii="Garamond" w:hAnsi="Garamond"/>
          <w:sz w:val="24"/>
          <w:szCs w:val="24"/>
        </w:rPr>
        <w:t xml:space="preserve"> </w:t>
      </w:r>
      <w:r w:rsidR="005526F1">
        <w:rPr>
          <w:rFonts w:ascii="Garamond" w:hAnsi="Garamond"/>
          <w:sz w:val="24"/>
          <w:szCs w:val="24"/>
        </w:rPr>
        <w:t>T</w:t>
      </w:r>
      <w:r w:rsidR="00BC7564" w:rsidRPr="00800A02">
        <w:rPr>
          <w:rFonts w:ascii="Garamond" w:hAnsi="Garamond"/>
          <w:sz w:val="24"/>
          <w:szCs w:val="24"/>
        </w:rPr>
        <w:t xml:space="preserve">he ideal implementation for </w:t>
      </w:r>
      <w:r w:rsidRPr="00800A02">
        <w:rPr>
          <w:rFonts w:ascii="Garamond" w:hAnsi="Garamond"/>
          <w:sz w:val="24"/>
          <w:szCs w:val="24"/>
        </w:rPr>
        <w:t>users</w:t>
      </w:r>
      <w:r w:rsidR="00BC7564" w:rsidRPr="00800A02">
        <w:rPr>
          <w:rFonts w:ascii="Garamond" w:hAnsi="Garamond"/>
          <w:sz w:val="24"/>
          <w:szCs w:val="24"/>
        </w:rPr>
        <w:t xml:space="preserve"> would be to provide a pop-up warning when they attempt to edit an item if the edit would alter or break any association that has already been made with a client.</w:t>
      </w:r>
    </w:p>
    <w:p w14:paraId="4AD27660" w14:textId="5B65E317" w:rsidR="00BC7564" w:rsidRDefault="005526F1" w:rsidP="00BC7564">
      <w:r>
        <w:rPr>
          <w:rFonts w:ascii="Garamond" w:hAnsi="Garamond"/>
          <w:sz w:val="24"/>
          <w:szCs w:val="24"/>
        </w:rPr>
        <w:lastRenderedPageBreak/>
        <w:t>Therefore, p</w:t>
      </w:r>
      <w:r w:rsidR="00BC7564" w:rsidRPr="00800A02">
        <w:rPr>
          <w:rFonts w:ascii="Garamond" w:hAnsi="Garamond"/>
          <w:sz w:val="24"/>
          <w:szCs w:val="24"/>
        </w:rPr>
        <w:t xml:space="preserve">ropose </w:t>
      </w:r>
      <w:r>
        <w:rPr>
          <w:rFonts w:ascii="Garamond" w:hAnsi="Garamond"/>
          <w:sz w:val="24"/>
          <w:szCs w:val="24"/>
        </w:rPr>
        <w:t xml:space="preserve">to </w:t>
      </w:r>
      <w:r w:rsidR="00BC7564" w:rsidRPr="00800A02">
        <w:rPr>
          <w:rFonts w:ascii="Garamond" w:hAnsi="Garamond"/>
          <w:sz w:val="24"/>
          <w:szCs w:val="24"/>
        </w:rPr>
        <w:t>change the above items from 61850-6 and 61850-10 to leave open two different options</w:t>
      </w:r>
      <w:r w:rsidR="00A51B88" w:rsidRPr="00800A02">
        <w:rPr>
          <w:rFonts w:ascii="Garamond" w:hAnsi="Garamond"/>
          <w:sz w:val="24"/>
          <w:szCs w:val="24"/>
        </w:rPr>
        <w:t>.  Propose</w:t>
      </w:r>
      <w:r w:rsidR="00337BBA" w:rsidRPr="00800A02">
        <w:rPr>
          <w:rFonts w:ascii="Garamond" w:hAnsi="Garamond"/>
          <w:sz w:val="24"/>
          <w:szCs w:val="24"/>
        </w:rPr>
        <w:t>d</w:t>
      </w:r>
      <w:r w:rsidR="00A51B88" w:rsidRPr="00800A02">
        <w:rPr>
          <w:rFonts w:ascii="Garamond" w:hAnsi="Garamond"/>
          <w:sz w:val="24"/>
          <w:szCs w:val="24"/>
        </w:rPr>
        <w:t xml:space="preserve"> rewording </w:t>
      </w:r>
      <w:r w:rsidR="00337BBA" w:rsidRPr="00800A02">
        <w:rPr>
          <w:rFonts w:ascii="Garamond" w:hAnsi="Garamond"/>
          <w:sz w:val="24"/>
          <w:szCs w:val="24"/>
        </w:rPr>
        <w:t xml:space="preserve">is </w:t>
      </w:r>
      <w:r w:rsidR="00A51B88" w:rsidRPr="00800A02">
        <w:rPr>
          <w:rFonts w:ascii="Garamond" w:hAnsi="Garamond"/>
          <w:sz w:val="24"/>
          <w:szCs w:val="24"/>
        </w:rPr>
        <w:t>as follows:</w:t>
      </w:r>
    </w:p>
    <w:p w14:paraId="7C83CA0D" w14:textId="77777777" w:rsidR="009A6B57" w:rsidRDefault="009A6B57" w:rsidP="00BC7564"/>
    <w:tbl>
      <w:tblPr>
        <w:tblStyle w:val="GridTable4-Accent1"/>
        <w:tblW w:w="0" w:type="auto"/>
        <w:tblLook w:val="04A0" w:firstRow="1" w:lastRow="0" w:firstColumn="1" w:lastColumn="0" w:noHBand="0" w:noVBand="1"/>
      </w:tblPr>
      <w:tblGrid>
        <w:gridCol w:w="1165"/>
        <w:gridCol w:w="4050"/>
        <w:gridCol w:w="4135"/>
      </w:tblGrid>
      <w:tr w:rsidR="009A6B57" w14:paraId="4CB721B4" w14:textId="77777777" w:rsidTr="009A6B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45B0E1" w:themeFill="accent1" w:themeFillTint="99"/>
          </w:tcPr>
          <w:p w14:paraId="1D37894A" w14:textId="218749B4" w:rsidR="009A6B57" w:rsidRDefault="009A6B57" w:rsidP="00BC7564">
            <w:r>
              <w:t>Item</w:t>
            </w:r>
          </w:p>
        </w:tc>
        <w:tc>
          <w:tcPr>
            <w:tcW w:w="4050" w:type="dxa"/>
            <w:shd w:val="clear" w:color="auto" w:fill="45B0E1" w:themeFill="accent1" w:themeFillTint="99"/>
          </w:tcPr>
          <w:p w14:paraId="769A9101" w14:textId="19FEE3C7" w:rsidR="009A6B57" w:rsidRDefault="009A6B57" w:rsidP="00BC7564">
            <w:pPr>
              <w:cnfStyle w:val="100000000000" w:firstRow="1" w:lastRow="0" w:firstColumn="0" w:lastColumn="0" w:oddVBand="0" w:evenVBand="0" w:oddHBand="0" w:evenHBand="0" w:firstRowFirstColumn="0" w:firstRowLastColumn="0" w:lastRowFirstColumn="0" w:lastRowLastColumn="0"/>
            </w:pPr>
            <w:r>
              <w:t>Original</w:t>
            </w:r>
          </w:p>
        </w:tc>
        <w:tc>
          <w:tcPr>
            <w:tcW w:w="4135" w:type="dxa"/>
            <w:shd w:val="clear" w:color="auto" w:fill="45B0E1" w:themeFill="accent1" w:themeFillTint="99"/>
          </w:tcPr>
          <w:p w14:paraId="22B9CB40" w14:textId="37525E5A" w:rsidR="009A6B57" w:rsidRDefault="009A6B57" w:rsidP="00BC7564">
            <w:pPr>
              <w:cnfStyle w:val="100000000000" w:firstRow="1" w:lastRow="0" w:firstColumn="0" w:lastColumn="0" w:oddVBand="0" w:evenVBand="0" w:oddHBand="0" w:evenHBand="0" w:firstRowFirstColumn="0" w:firstRowLastColumn="0" w:lastRowFirstColumn="0" w:lastRowLastColumn="0"/>
            </w:pPr>
            <w:r>
              <w:t>Proposal</w:t>
            </w:r>
          </w:p>
        </w:tc>
      </w:tr>
      <w:tr w:rsidR="009A6B57" w14:paraId="33FA4BA1" w14:textId="77777777" w:rsidTr="009A6B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FFFFFF" w:themeFill="background1"/>
          </w:tcPr>
          <w:p w14:paraId="2894CCDC" w14:textId="32DB75C7" w:rsidR="009A6B57" w:rsidRDefault="009A6B57" w:rsidP="00BC7564">
            <w:r>
              <w:t>I35</w:t>
            </w:r>
          </w:p>
        </w:tc>
        <w:tc>
          <w:tcPr>
            <w:tcW w:w="4050" w:type="dxa"/>
            <w:shd w:val="clear" w:color="auto" w:fill="FFFFFF" w:themeFill="background1"/>
          </w:tcPr>
          <w:p w14:paraId="2ACA1B51" w14:textId="77777777" w:rsidR="009A6B57" w:rsidRDefault="009A6B57" w:rsidP="00BC7564">
            <w:pPr>
              <w:cnfStyle w:val="000000100000" w:firstRow="0" w:lastRow="0" w:firstColumn="0" w:lastColumn="0" w:oddVBand="0" w:evenVBand="0" w:oddHBand="1" w:evenHBand="0" w:firstRowFirstColumn="0" w:firstRowLastColumn="0" w:lastRowFirstColumn="0" w:lastRowLastColumn="0"/>
            </w:pPr>
            <w:r>
              <w:t>"</w:t>
            </w:r>
            <w:r w:rsidRPr="00677CCD">
              <w:t>Removal of used</w:t>
            </w:r>
            <w:r>
              <w:t xml:space="preserve"> </w:t>
            </w:r>
            <w:r w:rsidRPr="00677CCD">
              <w:t>(referenced by another IED)</w:t>
            </w:r>
            <w:r>
              <w:t xml:space="preserve"> </w:t>
            </w:r>
            <w:r w:rsidRPr="00677CCD">
              <w:t>Data object/Control block</w:t>
            </w:r>
            <w:r>
              <w:t xml:space="preserve"> </w:t>
            </w:r>
            <w:r w:rsidRPr="00677CCD">
              <w:t xml:space="preserve">instances </w:t>
            </w:r>
            <w:r w:rsidRPr="009A6B57">
              <w:rPr>
                <w:color w:val="C00000"/>
              </w:rPr>
              <w:t>is not allowed</w:t>
            </w:r>
            <w:r>
              <w:t>"</w:t>
            </w:r>
          </w:p>
          <w:p w14:paraId="6F83DEEC" w14:textId="29D3C1D0" w:rsidR="009A6B57" w:rsidRDefault="009A6B57" w:rsidP="00BC7564">
            <w:pPr>
              <w:cnfStyle w:val="000000100000" w:firstRow="0" w:lastRow="0" w:firstColumn="0" w:lastColumn="0" w:oddVBand="0" w:evenVBand="0" w:oddHBand="1" w:evenHBand="0" w:firstRowFirstColumn="0" w:firstRowLastColumn="0" w:lastRowFirstColumn="0" w:lastRowLastColumn="0"/>
            </w:pPr>
          </w:p>
        </w:tc>
        <w:tc>
          <w:tcPr>
            <w:tcW w:w="4135" w:type="dxa"/>
            <w:shd w:val="clear" w:color="auto" w:fill="FFFFFF" w:themeFill="background1"/>
          </w:tcPr>
          <w:p w14:paraId="310BFD1F" w14:textId="17091699" w:rsidR="009A6B57" w:rsidRDefault="009A6B57" w:rsidP="00BC7564">
            <w:pPr>
              <w:cnfStyle w:val="000000100000" w:firstRow="0" w:lastRow="0" w:firstColumn="0" w:lastColumn="0" w:oddVBand="0" w:evenVBand="0" w:oddHBand="1" w:evenHBand="0" w:firstRowFirstColumn="0" w:firstRowLastColumn="0" w:lastRowFirstColumn="0" w:lastRowLastColumn="0"/>
            </w:pPr>
            <w:r>
              <w:t>"...</w:t>
            </w:r>
            <w:r w:rsidRPr="009A6B57">
              <w:rPr>
                <w:color w:val="3A7C22" w:themeColor="accent6" w:themeShade="BF"/>
              </w:rPr>
              <w:t xml:space="preserve">is either warned or </w:t>
            </w:r>
            <w:r w:rsidRPr="00337BBA">
              <w:t>is not allowed</w:t>
            </w:r>
            <w:r>
              <w:t>"</w:t>
            </w:r>
          </w:p>
        </w:tc>
      </w:tr>
      <w:tr w:rsidR="009A6B57" w14:paraId="792611B4" w14:textId="77777777" w:rsidTr="009A6B57">
        <w:tc>
          <w:tcPr>
            <w:cnfStyle w:val="001000000000" w:firstRow="0" w:lastRow="0" w:firstColumn="1" w:lastColumn="0" w:oddVBand="0" w:evenVBand="0" w:oddHBand="0" w:evenHBand="0" w:firstRowFirstColumn="0" w:firstRowLastColumn="0" w:lastRowFirstColumn="0" w:lastRowLastColumn="0"/>
            <w:tcW w:w="1165" w:type="dxa"/>
          </w:tcPr>
          <w:p w14:paraId="24343043" w14:textId="71FE55A8" w:rsidR="009A6B57" w:rsidRDefault="009A6B57" w:rsidP="00BC7564">
            <w:r>
              <w:t>tIieN1</w:t>
            </w:r>
          </w:p>
        </w:tc>
        <w:tc>
          <w:tcPr>
            <w:tcW w:w="4050" w:type="dxa"/>
          </w:tcPr>
          <w:p w14:paraId="012C4CD7" w14:textId="76EC1FF1" w:rsidR="009A6B57" w:rsidRDefault="009A6B57" w:rsidP="00BC7564">
            <w:pPr>
              <w:cnfStyle w:val="000000000000" w:firstRow="0" w:lastRow="0" w:firstColumn="0" w:lastColumn="0" w:oddVBand="0" w:evenVBand="0" w:oddHBand="0" w:evenHBand="0" w:firstRowFirstColumn="0" w:firstRowLastColumn="0" w:lastRowFirstColumn="0" w:lastRowLastColumn="0"/>
            </w:pPr>
            <w:r>
              <w:t>"...</w:t>
            </w:r>
            <w:r w:rsidRPr="00D57BC4">
              <w:t>This shall not be allowed / possible</w:t>
            </w:r>
            <w:r>
              <w:t xml:space="preserve"> (I35)"</w:t>
            </w:r>
          </w:p>
        </w:tc>
        <w:tc>
          <w:tcPr>
            <w:tcW w:w="4135" w:type="dxa"/>
          </w:tcPr>
          <w:p w14:paraId="0C056C3B" w14:textId="77777777" w:rsidR="009A6B57" w:rsidRDefault="009A6B57" w:rsidP="00BC7564">
            <w:pPr>
              <w:cnfStyle w:val="000000000000" w:firstRow="0" w:lastRow="0" w:firstColumn="0" w:lastColumn="0" w:oddVBand="0" w:evenVBand="0" w:oddHBand="0" w:evenHBand="0" w:firstRowFirstColumn="0" w:firstRowLastColumn="0" w:lastRowFirstColumn="0" w:lastRowLastColumn="0"/>
            </w:pPr>
            <w:r>
              <w:t>"</w:t>
            </w:r>
            <w:r w:rsidRPr="00337BBA">
              <w:t>This shall</w:t>
            </w:r>
            <w:r w:rsidRPr="00337BBA">
              <w:rPr>
                <w:color w:val="3A7C22" w:themeColor="accent6" w:themeShade="BF"/>
              </w:rPr>
              <w:t xml:space="preserve"> either </w:t>
            </w:r>
            <w:r w:rsidRPr="00337BBA">
              <w:t>not be allowed / possible</w:t>
            </w:r>
            <w:r w:rsidRPr="00337BBA">
              <w:rPr>
                <w:color w:val="3A7C22" w:themeColor="accent6" w:themeShade="BF"/>
              </w:rPr>
              <w:t>, or shall create a specific warning (I35)</w:t>
            </w:r>
            <w:r>
              <w:t>"</w:t>
            </w:r>
          </w:p>
          <w:p w14:paraId="1B8C870F" w14:textId="75DEC8E1" w:rsidR="009A6B57" w:rsidRDefault="009A6B57" w:rsidP="00BC7564">
            <w:pPr>
              <w:cnfStyle w:val="000000000000" w:firstRow="0" w:lastRow="0" w:firstColumn="0" w:lastColumn="0" w:oddVBand="0" w:evenVBand="0" w:oddHBand="0" w:evenHBand="0" w:firstRowFirstColumn="0" w:firstRowLastColumn="0" w:lastRowFirstColumn="0" w:lastRowLastColumn="0"/>
            </w:pPr>
          </w:p>
        </w:tc>
      </w:tr>
      <w:tr w:rsidR="009A6B57" w14:paraId="04E65DAD" w14:textId="77777777" w:rsidTr="009A6B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FFFFFF" w:themeFill="background1"/>
          </w:tcPr>
          <w:p w14:paraId="44822821" w14:textId="3E43DFDD" w:rsidR="009A6B57" w:rsidRDefault="009A6B57" w:rsidP="00BC7564">
            <w:r>
              <w:t>tIieN2</w:t>
            </w:r>
          </w:p>
        </w:tc>
        <w:tc>
          <w:tcPr>
            <w:tcW w:w="4050" w:type="dxa"/>
            <w:shd w:val="clear" w:color="auto" w:fill="FFFFFF" w:themeFill="background1"/>
          </w:tcPr>
          <w:p w14:paraId="504A5447" w14:textId="77777777" w:rsidR="009A6B57" w:rsidRDefault="009A6B57" w:rsidP="00BC7564">
            <w:pPr>
              <w:cnfStyle w:val="000000100000" w:firstRow="0" w:lastRow="0" w:firstColumn="0" w:lastColumn="0" w:oddVBand="0" w:evenVBand="0" w:oddHBand="1" w:evenHBand="0" w:firstRowFirstColumn="0" w:firstRowLastColumn="0" w:lastRowFirstColumn="0" w:lastRowLastColumn="0"/>
            </w:pPr>
          </w:p>
        </w:tc>
        <w:tc>
          <w:tcPr>
            <w:tcW w:w="4135" w:type="dxa"/>
            <w:shd w:val="clear" w:color="auto" w:fill="FFFFFF" w:themeFill="background1"/>
          </w:tcPr>
          <w:p w14:paraId="199F7DAD" w14:textId="77777777" w:rsidR="009A6B57" w:rsidRDefault="009A6B57" w:rsidP="00BC7564">
            <w:pPr>
              <w:cnfStyle w:val="000000100000" w:firstRow="0" w:lastRow="0" w:firstColumn="0" w:lastColumn="0" w:oddVBand="0" w:evenVBand="0" w:oddHBand="1" w:evenHBand="0" w:firstRowFirstColumn="0" w:firstRowLastColumn="0" w:lastRowFirstColumn="0" w:lastRowLastColumn="0"/>
            </w:pPr>
            <w:r>
              <w:t>Same proposal as for tIi2N1.</w:t>
            </w:r>
          </w:p>
          <w:p w14:paraId="4E8FFCE9" w14:textId="2CB39E82" w:rsidR="009A6B57" w:rsidRDefault="009A6B57" w:rsidP="00BC7564">
            <w:pPr>
              <w:cnfStyle w:val="000000100000" w:firstRow="0" w:lastRow="0" w:firstColumn="0" w:lastColumn="0" w:oddVBand="0" w:evenVBand="0" w:oddHBand="1" w:evenHBand="0" w:firstRowFirstColumn="0" w:firstRowLastColumn="0" w:lastRowFirstColumn="0" w:lastRowLastColumn="0"/>
            </w:pPr>
          </w:p>
        </w:tc>
      </w:tr>
      <w:tr w:rsidR="009A6B57" w14:paraId="46D1F8E0" w14:textId="77777777" w:rsidTr="009A6B57">
        <w:tc>
          <w:tcPr>
            <w:cnfStyle w:val="001000000000" w:firstRow="0" w:lastRow="0" w:firstColumn="1" w:lastColumn="0" w:oddVBand="0" w:evenVBand="0" w:oddHBand="0" w:evenHBand="0" w:firstRowFirstColumn="0" w:firstRowLastColumn="0" w:lastRowFirstColumn="0" w:lastRowLastColumn="0"/>
            <w:tcW w:w="1165" w:type="dxa"/>
          </w:tcPr>
          <w:p w14:paraId="14A45FF6" w14:textId="2BAD4161" w:rsidR="009A6B57" w:rsidRDefault="009A6B57" w:rsidP="00BC7564">
            <w:r>
              <w:t>tIieN3</w:t>
            </w:r>
          </w:p>
        </w:tc>
        <w:tc>
          <w:tcPr>
            <w:tcW w:w="4050" w:type="dxa"/>
          </w:tcPr>
          <w:p w14:paraId="010216FE" w14:textId="2DA39CA1" w:rsidR="009A6B57" w:rsidRDefault="009A6B57" w:rsidP="00BC7564">
            <w:pPr>
              <w:cnfStyle w:val="000000000000" w:firstRow="0" w:lastRow="0" w:firstColumn="0" w:lastColumn="0" w:oddVBand="0" w:evenVBand="0" w:oddHBand="0" w:evenHBand="0" w:firstRowFirstColumn="0" w:firstRowLastColumn="0" w:lastRowFirstColumn="0" w:lastRowLastColumn="0"/>
            </w:pPr>
            <w:r>
              <w:t>"</w:t>
            </w:r>
            <w:r w:rsidRPr="00337BBA">
              <w:rPr>
                <w:color w:val="C00000"/>
              </w:rPr>
              <w:t>Check that predefined control blocks and datasets can not be modified if they are assigned to client IED</w:t>
            </w:r>
            <w:r w:rsidRPr="00C9267A">
              <w:t xml:space="preserve"> (I17, I18, I35)</w:t>
            </w:r>
            <w:r>
              <w:t>"</w:t>
            </w:r>
          </w:p>
        </w:tc>
        <w:tc>
          <w:tcPr>
            <w:tcW w:w="4135" w:type="dxa"/>
          </w:tcPr>
          <w:p w14:paraId="544C87DC" w14:textId="77777777" w:rsidR="009A6B57" w:rsidRDefault="009A6B57" w:rsidP="00BC7564">
            <w:pPr>
              <w:cnfStyle w:val="000000000000" w:firstRow="0" w:lastRow="0" w:firstColumn="0" w:lastColumn="0" w:oddVBand="0" w:evenVBand="0" w:oddHBand="0" w:evenHBand="0" w:firstRowFirstColumn="0" w:firstRowLastColumn="0" w:lastRowFirstColumn="0" w:lastRowLastColumn="0"/>
            </w:pPr>
            <w:r>
              <w:t>"</w:t>
            </w:r>
            <w:r w:rsidRPr="00337BBA">
              <w:rPr>
                <w:color w:val="3A7C22" w:themeColor="accent6" w:themeShade="BF"/>
              </w:rPr>
              <w:t>Try to modify predefined control blocks and datasets which are assigned to client IED.  This shall either not be allowed / possible, or shall create a specific warning</w:t>
            </w:r>
            <w:r>
              <w:t xml:space="preserve"> </w:t>
            </w:r>
            <w:r w:rsidRPr="00C9267A">
              <w:t>(I17, I18, I35)</w:t>
            </w:r>
            <w:r>
              <w:t>.</w:t>
            </w:r>
          </w:p>
          <w:p w14:paraId="4838D1B5" w14:textId="6A8DD13F" w:rsidR="009A6B57" w:rsidRDefault="009A6B57" w:rsidP="00BC7564">
            <w:pPr>
              <w:cnfStyle w:val="000000000000" w:firstRow="0" w:lastRow="0" w:firstColumn="0" w:lastColumn="0" w:oddVBand="0" w:evenVBand="0" w:oddHBand="0" w:evenHBand="0" w:firstRowFirstColumn="0" w:firstRowLastColumn="0" w:lastRowFirstColumn="0" w:lastRowLastColumn="0"/>
            </w:pPr>
          </w:p>
        </w:tc>
      </w:tr>
    </w:tbl>
    <w:p w14:paraId="5E048AC8" w14:textId="77777777" w:rsidR="00BC7564" w:rsidRDefault="00BC7564" w:rsidP="00BC7564"/>
    <w:p w14:paraId="51FB17AA" w14:textId="04C0B343" w:rsidR="00677CCD" w:rsidRPr="005526F1" w:rsidRDefault="00D57BC4" w:rsidP="00BC7564">
      <w:pPr>
        <w:rPr>
          <w:rFonts w:ascii="Garamond" w:hAnsi="Garamond"/>
          <w:sz w:val="24"/>
          <w:szCs w:val="24"/>
        </w:rPr>
      </w:pPr>
      <w:r w:rsidRPr="00800A02">
        <w:rPr>
          <w:rFonts w:ascii="Garamond" w:hAnsi="Garamond"/>
          <w:sz w:val="24"/>
          <w:szCs w:val="24"/>
        </w:rPr>
        <w:t xml:space="preserve">And if these changes are </w:t>
      </w:r>
      <w:r w:rsidR="00A35674">
        <w:rPr>
          <w:rFonts w:ascii="Garamond" w:hAnsi="Garamond"/>
          <w:sz w:val="24"/>
          <w:szCs w:val="24"/>
        </w:rPr>
        <w:t>accepted</w:t>
      </w:r>
      <w:r w:rsidRPr="00800A02">
        <w:rPr>
          <w:rFonts w:ascii="Garamond" w:hAnsi="Garamond"/>
          <w:sz w:val="24"/>
          <w:szCs w:val="24"/>
        </w:rPr>
        <w:t>, then</w:t>
      </w:r>
      <w:r w:rsidR="00C9267A" w:rsidRPr="00800A02">
        <w:rPr>
          <w:rFonts w:ascii="Garamond" w:hAnsi="Garamond"/>
          <w:sz w:val="24"/>
          <w:szCs w:val="24"/>
        </w:rPr>
        <w:t xml:space="preserve"> </w:t>
      </w:r>
      <w:r w:rsidRPr="00800A02">
        <w:rPr>
          <w:rFonts w:ascii="Garamond" w:hAnsi="Garamond"/>
          <w:sz w:val="24"/>
          <w:szCs w:val="24"/>
        </w:rPr>
        <w:t xml:space="preserve">corresponding changes to the test procedure documents </w:t>
      </w:r>
      <w:r w:rsidR="00C9267A" w:rsidRPr="00800A02">
        <w:rPr>
          <w:rFonts w:ascii="Garamond" w:hAnsi="Garamond"/>
          <w:sz w:val="24"/>
          <w:szCs w:val="24"/>
        </w:rPr>
        <w:t xml:space="preserve">would be made </w:t>
      </w:r>
      <w:r w:rsidRPr="00800A02">
        <w:rPr>
          <w:rFonts w:ascii="Garamond" w:hAnsi="Garamond"/>
          <w:sz w:val="24"/>
          <w:szCs w:val="24"/>
        </w:rPr>
        <w:t>as well.</w:t>
      </w:r>
    </w:p>
    <w:bookmarkEnd w:id="0"/>
    <w:p w14:paraId="78802E40" w14:textId="77777777" w:rsidR="0090211E" w:rsidRDefault="0090211E"/>
    <w:sectPr w:rsidR="00902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852619"/>
    <w:multiLevelType w:val="hybridMultilevel"/>
    <w:tmpl w:val="A962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927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564"/>
    <w:rsid w:val="0003155A"/>
    <w:rsid w:val="000733D6"/>
    <w:rsid w:val="00337BBA"/>
    <w:rsid w:val="004C36CF"/>
    <w:rsid w:val="005526F1"/>
    <w:rsid w:val="00565ACE"/>
    <w:rsid w:val="00677CCD"/>
    <w:rsid w:val="00764AE9"/>
    <w:rsid w:val="0078545C"/>
    <w:rsid w:val="007E173E"/>
    <w:rsid w:val="00800A02"/>
    <w:rsid w:val="0090211E"/>
    <w:rsid w:val="0093417B"/>
    <w:rsid w:val="0094553D"/>
    <w:rsid w:val="009A6B57"/>
    <w:rsid w:val="009B53C0"/>
    <w:rsid w:val="00A35674"/>
    <w:rsid w:val="00A51B88"/>
    <w:rsid w:val="00A94757"/>
    <w:rsid w:val="00BC7564"/>
    <w:rsid w:val="00C63C18"/>
    <w:rsid w:val="00C9267A"/>
    <w:rsid w:val="00CC0B5F"/>
    <w:rsid w:val="00D5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5E90"/>
  <w15:chartTrackingRefBased/>
  <w15:docId w15:val="{93383176-765F-4CE1-BD57-271E27E8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5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5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5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5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5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5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5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5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5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5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5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5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5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5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5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5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5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564"/>
    <w:rPr>
      <w:rFonts w:eastAsiaTheme="majorEastAsia" w:cstheme="majorBidi"/>
      <w:color w:val="272727" w:themeColor="text1" w:themeTint="D8"/>
    </w:rPr>
  </w:style>
  <w:style w:type="paragraph" w:styleId="Title">
    <w:name w:val="Title"/>
    <w:basedOn w:val="Normal"/>
    <w:next w:val="Normal"/>
    <w:link w:val="TitleChar"/>
    <w:uiPriority w:val="10"/>
    <w:qFormat/>
    <w:rsid w:val="00BC75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5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5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5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564"/>
    <w:pPr>
      <w:spacing w:before="160"/>
      <w:jc w:val="center"/>
    </w:pPr>
    <w:rPr>
      <w:i/>
      <w:iCs/>
      <w:color w:val="404040" w:themeColor="text1" w:themeTint="BF"/>
    </w:rPr>
  </w:style>
  <w:style w:type="character" w:customStyle="1" w:styleId="QuoteChar">
    <w:name w:val="Quote Char"/>
    <w:basedOn w:val="DefaultParagraphFont"/>
    <w:link w:val="Quote"/>
    <w:uiPriority w:val="29"/>
    <w:rsid w:val="00BC7564"/>
    <w:rPr>
      <w:i/>
      <w:iCs/>
      <w:color w:val="404040" w:themeColor="text1" w:themeTint="BF"/>
    </w:rPr>
  </w:style>
  <w:style w:type="paragraph" w:styleId="ListParagraph">
    <w:name w:val="List Paragraph"/>
    <w:basedOn w:val="Normal"/>
    <w:uiPriority w:val="34"/>
    <w:qFormat/>
    <w:rsid w:val="00BC7564"/>
    <w:pPr>
      <w:ind w:left="720"/>
      <w:contextualSpacing/>
    </w:pPr>
  </w:style>
  <w:style w:type="character" w:styleId="IntenseEmphasis">
    <w:name w:val="Intense Emphasis"/>
    <w:basedOn w:val="DefaultParagraphFont"/>
    <w:uiPriority w:val="21"/>
    <w:qFormat/>
    <w:rsid w:val="00BC7564"/>
    <w:rPr>
      <w:i/>
      <w:iCs/>
      <w:color w:val="0F4761" w:themeColor="accent1" w:themeShade="BF"/>
    </w:rPr>
  </w:style>
  <w:style w:type="paragraph" w:styleId="IntenseQuote">
    <w:name w:val="Intense Quote"/>
    <w:basedOn w:val="Normal"/>
    <w:next w:val="Normal"/>
    <w:link w:val="IntenseQuoteChar"/>
    <w:uiPriority w:val="30"/>
    <w:qFormat/>
    <w:rsid w:val="00BC75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564"/>
    <w:rPr>
      <w:i/>
      <w:iCs/>
      <w:color w:val="0F4761" w:themeColor="accent1" w:themeShade="BF"/>
    </w:rPr>
  </w:style>
  <w:style w:type="character" w:styleId="IntenseReference">
    <w:name w:val="Intense Reference"/>
    <w:basedOn w:val="DefaultParagraphFont"/>
    <w:uiPriority w:val="32"/>
    <w:qFormat/>
    <w:rsid w:val="00BC7564"/>
    <w:rPr>
      <w:b/>
      <w:bCs/>
      <w:smallCaps/>
      <w:color w:val="0F4761" w:themeColor="accent1" w:themeShade="BF"/>
      <w:spacing w:val="5"/>
    </w:rPr>
  </w:style>
  <w:style w:type="character" w:styleId="Hyperlink">
    <w:name w:val="Hyperlink"/>
    <w:basedOn w:val="DefaultParagraphFont"/>
    <w:uiPriority w:val="99"/>
    <w:unhideWhenUsed/>
    <w:rsid w:val="00BC7564"/>
    <w:rPr>
      <w:color w:val="467886" w:themeColor="hyperlink"/>
      <w:u w:val="single"/>
    </w:rPr>
  </w:style>
  <w:style w:type="character" w:styleId="UnresolvedMention">
    <w:name w:val="Unresolved Mention"/>
    <w:basedOn w:val="DefaultParagraphFont"/>
    <w:uiPriority w:val="99"/>
    <w:semiHidden/>
    <w:unhideWhenUsed/>
    <w:rsid w:val="00BC7564"/>
    <w:rPr>
      <w:color w:val="605E5C"/>
      <w:shd w:val="clear" w:color="auto" w:fill="E1DFDD"/>
    </w:rPr>
  </w:style>
  <w:style w:type="table" w:styleId="TableGrid">
    <w:name w:val="Table Grid"/>
    <w:basedOn w:val="TableNormal"/>
    <w:uiPriority w:val="39"/>
    <w:rsid w:val="009A6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A6B57"/>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redmine.ucaiug.org/issues/66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Wormgoor</dc:creator>
  <cp:keywords/>
  <dc:description/>
  <cp:lastModifiedBy>Zachary Wormgoor</cp:lastModifiedBy>
  <cp:revision>4</cp:revision>
  <dcterms:created xsi:type="dcterms:W3CDTF">2024-08-29T20:52:00Z</dcterms:created>
  <dcterms:modified xsi:type="dcterms:W3CDTF">2024-08-29T21:01:00Z</dcterms:modified>
</cp:coreProperties>
</file>