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13A0AF99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6B438A">
        <w:t>769</w:t>
      </w:r>
    </w:p>
    <w:p w14:paraId="06C1F5DC" w14:textId="4E0228E3" w:rsidR="00540862" w:rsidRDefault="002259AE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sGo</w:t>
      </w:r>
      <w:r w:rsidR="006B438A">
        <w:rPr>
          <w:rFonts w:ascii="Trebuchet MS" w:hAnsi="Trebuchet MS"/>
          <w:color w:val="555555"/>
          <w:sz w:val="24"/>
          <w:szCs w:val="24"/>
        </w:rPr>
        <w:t>p9</w:t>
      </w:r>
    </w:p>
    <w:p w14:paraId="72D9BE96" w14:textId="39177B14" w:rsidR="002276D6" w:rsidRDefault="00386187" w:rsidP="004B15FB">
      <w:pPr>
        <w:jc w:val="center"/>
      </w:pPr>
      <w:r>
        <w:t>June</w:t>
      </w:r>
      <w:r w:rsidR="00075FCA">
        <w:t xml:space="preserve"> </w:t>
      </w:r>
      <w:r w:rsidR="002E3C66">
        <w:t>6</w:t>
      </w:r>
      <w:r w:rsidR="00C14057">
        <w:t>, 202</w:t>
      </w:r>
      <w:r w:rsidR="00F01832">
        <w:t>4</w:t>
      </w:r>
    </w:p>
    <w:p w14:paraId="6815893E" w14:textId="19D3DAE3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If the server sends GOOSE messages when the GoCB.NdsCom is true, then the GOOSE message.NdsCom shall be true as well.</w:t>
      </w:r>
    </w:p>
    <w:p w14:paraId="14D88070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The test needs to be corrected to allow</w:t>
      </w:r>
    </w:p>
    <w:p w14:paraId="50C40BBF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1) to refuse the incorrect configuration while import SCD</w:t>
      </w:r>
    </w:p>
    <w:p w14:paraId="0C038E09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2) to ignore parts of the new configuration</w:t>
      </w:r>
    </w:p>
    <w:p w14:paraId="7F6C951B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3) to accept the configuration</w:t>
      </w:r>
    </w:p>
    <w:p w14:paraId="03A1229A" w14:textId="77777777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3.1) The GoCB.NdsCom is set to TRUE.</w:t>
      </w:r>
    </w:p>
    <w:p w14:paraId="57B90FBD" w14:textId="5C4995D6" w:rsidR="006B438A" w:rsidRPr="006B438A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3.2) If the GoCB can be enabled (SetGoCBValues.resp+), then the GOOSE message.NdsCom</w:t>
      </w:r>
      <w:r w:rsidR="00752EF2">
        <w:rPr>
          <w:rFonts w:ascii="Verdana" w:hAnsi="Verdana"/>
          <w:color w:val="000000"/>
          <w:sz w:val="18"/>
          <w:szCs w:val="18"/>
          <w:shd w:val="clear" w:color="auto" w:fill="FFFFFF"/>
        </w:rPr>
        <w:t>=</w:t>
      </w: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true</w:t>
      </w:r>
    </w:p>
    <w:p w14:paraId="7A96C9B0" w14:textId="719D9C6D" w:rsidR="002E3C66" w:rsidRDefault="006B438A" w:rsidP="00630F3E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B438A">
        <w:rPr>
          <w:rFonts w:ascii="Verdana" w:hAnsi="Verdana"/>
          <w:color w:val="000000"/>
          <w:sz w:val="18"/>
          <w:szCs w:val="18"/>
          <w:shd w:val="clear" w:color="auto" w:fill="FFFFFF"/>
        </w:rPr>
        <w:t>3.3) If the GoCB cannot be enabled (SetGoCBValues.resp-)</w:t>
      </w:r>
    </w:p>
    <w:p w14:paraId="19A1BBDB" w14:textId="77777777" w:rsidR="00752EF2" w:rsidRDefault="00752EF2" w:rsidP="00752EF2">
      <w:pPr>
        <w:spacing w:after="4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64817F8" w14:textId="0E061008" w:rsidR="00630F3E" w:rsidRDefault="00386187" w:rsidP="006B43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Update:  in case a device only supports GOOSE the only method to indicate it needs commissioning is by sending GOOSE messages with ndsCom=T (with empty dataset).  Such device does not support Get/SetGoCBValues. </w:t>
      </w:r>
      <w:r w:rsidR="00630F3E">
        <w:rPr>
          <w:rFonts w:ascii="Verdana" w:hAnsi="Verdana"/>
          <w:color w:val="000000"/>
          <w:sz w:val="18"/>
          <w:szCs w:val="18"/>
          <w:shd w:val="clear" w:color="auto" w:fill="FFFFFF"/>
        </w:rPr>
        <w:t>Allowed Scenario’s:</w:t>
      </w:r>
    </w:p>
    <w:p w14:paraId="415C1CAB" w14:textId="376F04A8" w:rsid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Setgocbvalue resp-, no GOOSE</w:t>
      </w:r>
    </w:p>
    <w:p w14:paraId="7F6C2F37" w14:textId="669E9F0B" w:rsid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</w:t>
      </w:r>
      <w:r>
        <w:rPr>
          <w:rFonts w:ascii="Verdana" w:hAnsi="Verdana"/>
          <w:color w:val="000000"/>
          <w:shd w:val="clear" w:color="auto" w:fill="FFFFFF"/>
        </w:rPr>
        <w:t>etgocbvalue resp</w:t>
      </w:r>
      <w:r>
        <w:rPr>
          <w:rFonts w:ascii="Verdana" w:hAnsi="Verdana"/>
          <w:color w:val="000000"/>
          <w:shd w:val="clear" w:color="auto" w:fill="FFFFFF"/>
        </w:rPr>
        <w:t>+</w:t>
      </w:r>
      <w:r>
        <w:rPr>
          <w:rFonts w:ascii="Verdana" w:hAnsi="Verdana"/>
          <w:color w:val="000000"/>
          <w:shd w:val="clear" w:color="auto" w:fill="FFFFFF"/>
        </w:rPr>
        <w:t>, GOOSE</w:t>
      </w:r>
    </w:p>
    <w:p w14:paraId="5CB655CA" w14:textId="6ABCCF80" w:rsidR="00630F3E" w:rsidRP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Setgocbvalue is </w:t>
      </w:r>
      <w:r>
        <w:rPr>
          <w:rFonts w:ascii="Verdana" w:hAnsi="Verdana"/>
          <w:color w:val="000000"/>
          <w:shd w:val="clear" w:color="auto" w:fill="FFFFFF"/>
        </w:rPr>
        <w:t xml:space="preserve">NOT </w:t>
      </w:r>
      <w:r>
        <w:rPr>
          <w:rFonts w:ascii="Verdana" w:hAnsi="Verdana"/>
          <w:color w:val="000000"/>
          <w:shd w:val="clear" w:color="auto" w:fill="FFFFFF"/>
        </w:rPr>
        <w:t>sup</w:t>
      </w:r>
      <w:r>
        <w:rPr>
          <w:rFonts w:ascii="Verdana" w:hAnsi="Verdana"/>
          <w:color w:val="000000"/>
          <w:shd w:val="clear" w:color="auto" w:fill="FFFFFF"/>
        </w:rPr>
        <w:t>ported</w:t>
      </w:r>
      <w:r>
        <w:rPr>
          <w:rFonts w:ascii="Verdana" w:hAnsi="Verdana"/>
          <w:color w:val="000000"/>
          <w:shd w:val="clear" w:color="auto" w:fill="FFFFFF"/>
        </w:rPr>
        <w:t>, GOOSE</w:t>
      </w:r>
    </w:p>
    <w:p w14:paraId="6FD85375" w14:textId="018A2827" w:rsidR="00630F3E" w:rsidRPr="00630F3E" w:rsidRDefault="00630F3E" w:rsidP="00630F3E">
      <w:pPr>
        <w:pStyle w:val="ListParagraph"/>
        <w:numPr>
          <w:ilvl w:val="0"/>
          <w:numId w:val="27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Setgocbvalue is NOT supported, </w:t>
      </w:r>
      <w:r>
        <w:rPr>
          <w:rFonts w:ascii="Verdana" w:hAnsi="Verdana"/>
          <w:color w:val="000000"/>
          <w:shd w:val="clear" w:color="auto" w:fill="FFFFFF"/>
        </w:rPr>
        <w:t xml:space="preserve">no </w:t>
      </w:r>
      <w:r>
        <w:rPr>
          <w:rFonts w:ascii="Verdana" w:hAnsi="Verdana"/>
          <w:color w:val="000000"/>
          <w:shd w:val="clear" w:color="auto" w:fill="FFFFFF"/>
        </w:rPr>
        <w:t>GOOSE</w:t>
      </w:r>
    </w:p>
    <w:p w14:paraId="4491ABBA" w14:textId="5230E4D7" w:rsidR="00630F3E" w:rsidRPr="00752EF2" w:rsidRDefault="00630F3E" w:rsidP="00752EF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52EF2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Not allowed scenario</w:t>
      </w:r>
      <w:r w:rsidR="00752EF2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’s</w:t>
      </w:r>
      <w:r w:rsidRPr="00752EF2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:</w:t>
      </w:r>
      <w:r w:rsidR="00752EF2" w:rsidRPr="00752EF2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752EF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Setgocbvalue resp+, </w:t>
      </w:r>
      <w:r w:rsidRPr="00752EF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no </w:t>
      </w:r>
      <w:r w:rsidRPr="00752EF2">
        <w:rPr>
          <w:rFonts w:ascii="Verdana" w:hAnsi="Verdana"/>
          <w:color w:val="000000"/>
          <w:sz w:val="18"/>
          <w:szCs w:val="18"/>
          <w:shd w:val="clear" w:color="auto" w:fill="FFFFFF"/>
        </w:rPr>
        <w:t>GOOSE</w:t>
      </w:r>
      <w:r w:rsidR="00752EF2" w:rsidRPr="00752EF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</w:t>
      </w:r>
      <w:r w:rsidRPr="00752EF2">
        <w:rPr>
          <w:rFonts w:ascii="Verdana" w:hAnsi="Verdana"/>
          <w:color w:val="000000"/>
          <w:sz w:val="18"/>
          <w:szCs w:val="18"/>
          <w:shd w:val="clear" w:color="auto" w:fill="FFFFFF"/>
        </w:rPr>
        <w:t>Setgocbvalue resp-, GOOSE</w:t>
      </w:r>
    </w:p>
    <w:tbl>
      <w:tblPr>
        <w:tblStyle w:val="TestCaseTableStyle1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515"/>
        <w:gridCol w:w="1649"/>
      </w:tblGrid>
      <w:tr w:rsidR="006B438A" w:rsidRPr="006B438A" w14:paraId="0C5157EF" w14:textId="77777777" w:rsidTr="006B438A">
        <w:trPr>
          <w:trHeight w:val="164"/>
        </w:trPr>
        <w:tc>
          <w:tcPr>
            <w:tcW w:w="1475" w:type="dxa"/>
            <w:vAlign w:val="center"/>
          </w:tcPr>
          <w:p w14:paraId="175D9FCD" w14:textId="77777777" w:rsidR="006B438A" w:rsidRPr="006B438A" w:rsidRDefault="006B438A" w:rsidP="00D31023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B438A">
              <w:rPr>
                <w:b/>
                <w:bCs/>
                <w:sz w:val="18"/>
                <w:szCs w:val="18"/>
              </w:rPr>
              <w:t>sGop9</w:t>
            </w:r>
          </w:p>
        </w:tc>
        <w:tc>
          <w:tcPr>
            <w:tcW w:w="6515" w:type="dxa"/>
            <w:vAlign w:val="center"/>
          </w:tcPr>
          <w:p w14:paraId="7DC846A0" w14:textId="77777777" w:rsidR="006B438A" w:rsidRPr="006B438A" w:rsidRDefault="006B438A" w:rsidP="00D31023">
            <w:pPr>
              <w:tabs>
                <w:tab w:val="left" w:pos="426"/>
              </w:tabs>
              <w:rPr>
                <w:b/>
                <w:bCs/>
                <w:sz w:val="18"/>
                <w:szCs w:val="18"/>
              </w:rPr>
            </w:pPr>
            <w:r w:rsidRPr="006B438A">
              <w:rPr>
                <w:b/>
                <w:bCs/>
                <w:sz w:val="18"/>
                <w:szCs w:val="18"/>
              </w:rPr>
              <w:t>DatSet not configured</w:t>
            </w:r>
          </w:p>
        </w:tc>
        <w:tc>
          <w:tcPr>
            <w:tcW w:w="1649" w:type="dxa"/>
          </w:tcPr>
          <w:p w14:paraId="074A5774" w14:textId="77777777" w:rsidR="006B438A" w:rsidRPr="006B438A" w:rsidRDefault="006B438A" w:rsidP="00D31023">
            <w:pPr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752EF2">
              <w:rPr>
                <w:sz w:val="18"/>
                <w:szCs w:val="18"/>
              </w:rPr>
            </w:r>
            <w:r w:rsidR="00752EF2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Passed</w:t>
            </w:r>
          </w:p>
          <w:p w14:paraId="4A09B569" w14:textId="77777777" w:rsidR="006B438A" w:rsidRPr="006B438A" w:rsidRDefault="006B438A" w:rsidP="00D31023">
            <w:pPr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752EF2">
              <w:rPr>
                <w:sz w:val="18"/>
                <w:szCs w:val="18"/>
              </w:rPr>
            </w:r>
            <w:r w:rsidR="00752EF2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Failed</w:t>
            </w:r>
          </w:p>
          <w:p w14:paraId="718166CA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A">
              <w:rPr>
                <w:sz w:val="18"/>
                <w:szCs w:val="18"/>
              </w:rPr>
              <w:instrText xml:space="preserve"> FORMCHECKBOX </w:instrText>
            </w:r>
            <w:r w:rsidR="00752EF2">
              <w:rPr>
                <w:sz w:val="18"/>
                <w:szCs w:val="18"/>
              </w:rPr>
            </w:r>
            <w:r w:rsidR="00752EF2">
              <w:rPr>
                <w:sz w:val="18"/>
                <w:szCs w:val="18"/>
              </w:rPr>
              <w:fldChar w:fldCharType="separate"/>
            </w:r>
            <w:r w:rsidRPr="006B438A">
              <w:rPr>
                <w:sz w:val="18"/>
                <w:szCs w:val="18"/>
              </w:rPr>
              <w:fldChar w:fldCharType="end"/>
            </w:r>
            <w:r w:rsidRPr="006B438A">
              <w:rPr>
                <w:sz w:val="18"/>
                <w:szCs w:val="18"/>
              </w:rPr>
              <w:t xml:space="preserve"> Inconclusive</w:t>
            </w:r>
          </w:p>
        </w:tc>
      </w:tr>
      <w:tr w:rsidR="006B438A" w:rsidRPr="006B438A" w14:paraId="3743A32F" w14:textId="77777777" w:rsidTr="00D31023">
        <w:trPr>
          <w:trHeight w:val="20"/>
        </w:trPr>
        <w:tc>
          <w:tcPr>
            <w:tcW w:w="9639" w:type="dxa"/>
            <w:gridSpan w:val="3"/>
          </w:tcPr>
          <w:p w14:paraId="27A72BBD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t>IEC 61850-7-2 Subclause 18.2.1.7</w:t>
            </w:r>
          </w:p>
          <w:p w14:paraId="5345C92D" w14:textId="77777777" w:rsidR="006B438A" w:rsidRPr="006B438A" w:rsidRDefault="006B438A" w:rsidP="00D3102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6B438A">
              <w:rPr>
                <w:sz w:val="18"/>
                <w:szCs w:val="18"/>
              </w:rPr>
              <w:t>IEC 61850-8-1 Subclause 18.1</w:t>
            </w:r>
          </w:p>
        </w:tc>
      </w:tr>
      <w:tr w:rsidR="006B438A" w:rsidRPr="006B438A" w14:paraId="59367B38" w14:textId="77777777" w:rsidTr="00D31023">
        <w:trPr>
          <w:trHeight w:val="384"/>
        </w:trPr>
        <w:tc>
          <w:tcPr>
            <w:tcW w:w="9639" w:type="dxa"/>
            <w:gridSpan w:val="3"/>
          </w:tcPr>
          <w:p w14:paraId="38D801C4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Expected result</w:t>
            </w:r>
          </w:p>
          <w:p w14:paraId="51C87ED0" w14:textId="77777777" w:rsidR="006B438A" w:rsidRPr="006B438A" w:rsidRDefault="006B438A" w:rsidP="006B438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6B438A">
              <w:t>DUT (including IED tool) either</w:t>
            </w:r>
          </w:p>
          <w:p w14:paraId="13B5DDC3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 xml:space="preserve">- refuses the entire configuration (allowed when none of the SCL Services GSESettings is Fix)  or </w:t>
            </w:r>
          </w:p>
          <w:p w14:paraId="43094068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 xml:space="preserve">- it ignores parts of the new configuration (allowed when none of the SCL Services GSESettings is Fix)  or </w:t>
            </w:r>
          </w:p>
          <w:p w14:paraId="54F8A2F5" w14:textId="77777777" w:rsidR="006B438A" w:rsidRPr="006B438A" w:rsidRDefault="006B438A" w:rsidP="00D31023">
            <w:pPr>
              <w:pStyle w:val="ListParagraph"/>
              <w:tabs>
                <w:tab w:val="left" w:pos="426"/>
              </w:tabs>
              <w:ind w:left="0"/>
            </w:pPr>
            <w:r w:rsidRPr="006B438A">
              <w:tab/>
              <w:t>- it accepts the configuration (required when one of the SCL Services GSESettings is Fix)</w:t>
            </w:r>
          </w:p>
          <w:p w14:paraId="673B6A7F" w14:textId="66A25409" w:rsidR="00630F3E" w:rsidRDefault="006B438A" w:rsidP="006D4BAB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70C0"/>
              </w:rPr>
            </w:pPr>
            <w:r w:rsidRPr="00386187">
              <w:rPr>
                <w:color w:val="0070C0"/>
              </w:rPr>
              <w:t xml:space="preserve">DUT sends SetGoCBValues response- </w:t>
            </w:r>
            <w:r w:rsidR="00630F3E">
              <w:rPr>
                <w:color w:val="0070C0"/>
              </w:rPr>
              <w:t xml:space="preserve">and sends no GOOSE </w:t>
            </w:r>
            <w:r w:rsidR="00752EF2">
              <w:rPr>
                <w:color w:val="0070C0"/>
              </w:rPr>
              <w:t>messages</w:t>
            </w:r>
            <w:r w:rsidR="00752EF2" w:rsidRPr="00386187">
              <w:rPr>
                <w:color w:val="0070C0"/>
              </w:rPr>
              <w:t xml:space="preserve"> </w:t>
            </w:r>
            <w:r w:rsidR="00630F3E">
              <w:rPr>
                <w:color w:val="0070C0"/>
              </w:rPr>
              <w:t>OR</w:t>
            </w:r>
          </w:p>
          <w:p w14:paraId="33B562D7" w14:textId="7BBA8D9F" w:rsidR="00630F3E" w:rsidRDefault="00630F3E" w:rsidP="00630F3E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>
              <w:rPr>
                <w:color w:val="0070C0"/>
              </w:rPr>
              <w:tab/>
            </w:r>
            <w:r w:rsidR="00386187">
              <w:rPr>
                <w:color w:val="0070C0"/>
              </w:rPr>
              <w:t>DUT</w:t>
            </w:r>
            <w:r w:rsidR="006B438A" w:rsidRPr="00386187">
              <w:rPr>
                <w:color w:val="0070C0"/>
              </w:rPr>
              <w:t xml:space="preserve"> sends SetGoCBValues response+</w:t>
            </w:r>
            <w:r>
              <w:rPr>
                <w:color w:val="0070C0"/>
              </w:rPr>
              <w:t xml:space="preserve"> and sends GOOSE with </w:t>
            </w:r>
            <w:r w:rsidR="00752EF2">
              <w:rPr>
                <w:color w:val="0070C0"/>
              </w:rPr>
              <w:t>N</w:t>
            </w:r>
            <w:r>
              <w:rPr>
                <w:color w:val="0070C0"/>
              </w:rPr>
              <w:t>dsCom=T</w:t>
            </w:r>
            <w:r w:rsidR="00752EF2">
              <w:rPr>
                <w:color w:val="0070C0"/>
              </w:rPr>
              <w:t>rue</w:t>
            </w:r>
            <w:r>
              <w:rPr>
                <w:color w:val="0070C0"/>
              </w:rPr>
              <w:t xml:space="preserve"> OR</w:t>
            </w:r>
          </w:p>
          <w:p w14:paraId="74F0427B" w14:textId="3ED80EB0" w:rsidR="00630F3E" w:rsidRDefault="00630F3E" w:rsidP="00630F3E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>
              <w:rPr>
                <w:color w:val="0070C0"/>
              </w:rPr>
              <w:tab/>
              <w:t>DUT send</w:t>
            </w:r>
            <w:r w:rsidR="00752EF2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GOOSE messages with </w:t>
            </w:r>
            <w:r w:rsidR="00752EF2">
              <w:rPr>
                <w:color w:val="0070C0"/>
              </w:rPr>
              <w:t>N</w:t>
            </w:r>
            <w:r>
              <w:rPr>
                <w:color w:val="0070C0"/>
              </w:rPr>
              <w:t>dsCom=T</w:t>
            </w:r>
            <w:r w:rsidR="00752EF2">
              <w:rPr>
                <w:color w:val="0070C0"/>
              </w:rPr>
              <w:t>rue</w:t>
            </w:r>
            <w:r>
              <w:rPr>
                <w:color w:val="0070C0"/>
              </w:rPr>
              <w:t xml:space="preserve"> OR</w:t>
            </w:r>
          </w:p>
          <w:p w14:paraId="115DFAAA" w14:textId="20F2CC3D" w:rsidR="00386187" w:rsidRDefault="00630F3E" w:rsidP="00630F3E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>
              <w:rPr>
                <w:color w:val="0070C0"/>
              </w:rPr>
              <w:tab/>
              <w:t>DUT sends no GOOSE messages</w:t>
            </w:r>
            <w:r w:rsidR="006B438A" w:rsidRPr="00386187">
              <w:rPr>
                <w:color w:val="0070C0"/>
              </w:rPr>
              <w:t xml:space="preserve"> </w:t>
            </w:r>
          </w:p>
          <w:p w14:paraId="4EE8EF70" w14:textId="6149B49C" w:rsidR="006B438A" w:rsidRPr="006B438A" w:rsidRDefault="006B438A" w:rsidP="006B438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6B438A">
              <w:t>GoCB.datSet is empty and GoCB.NdsCom=True</w:t>
            </w:r>
          </w:p>
        </w:tc>
      </w:tr>
      <w:tr w:rsidR="006B438A" w:rsidRPr="006B438A" w14:paraId="4EEE3E51" w14:textId="77777777" w:rsidTr="00D31023">
        <w:trPr>
          <w:trHeight w:val="548"/>
        </w:trPr>
        <w:tc>
          <w:tcPr>
            <w:tcW w:w="9639" w:type="dxa"/>
            <w:gridSpan w:val="3"/>
          </w:tcPr>
          <w:p w14:paraId="1A2203E4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Test description</w:t>
            </w:r>
          </w:p>
          <w:p w14:paraId="25FBEE90" w14:textId="77777777" w:rsidR="006B438A" w:rsidRPr="006B438A" w:rsidRDefault="006B438A" w:rsidP="006B438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6B438A">
              <w:t>DUT is configured with a GSEControl element without the datSet</w:t>
            </w:r>
          </w:p>
          <w:p w14:paraId="178B23AA" w14:textId="77777777" w:rsidR="006B438A" w:rsidRPr="006B438A" w:rsidRDefault="006B438A" w:rsidP="006B438A">
            <w:pPr>
              <w:pStyle w:val="ListParagraph"/>
              <w:tabs>
                <w:tab w:val="left" w:pos="426"/>
              </w:tabs>
              <w:ind w:left="0"/>
              <w:rPr>
                <w:color w:val="0070C0"/>
              </w:rPr>
            </w:pPr>
            <w:r w:rsidRPr="006B438A">
              <w:rPr>
                <w:color w:val="0070C0"/>
              </w:rPr>
              <w:t>If configuration is accepted continue with:</w:t>
            </w:r>
          </w:p>
          <w:p w14:paraId="490CAF68" w14:textId="79BAE5C5" w:rsidR="006B438A" w:rsidRPr="00386187" w:rsidRDefault="006B438A" w:rsidP="00BF29F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hanging="720"/>
            </w:pPr>
            <w:r w:rsidRPr="006B438A">
              <w:t>Client sends SetGoCBValues request to enable this GoCB</w:t>
            </w:r>
            <w:r w:rsidR="00386187">
              <w:t xml:space="preserve"> </w:t>
            </w:r>
            <w:r w:rsidR="00386187" w:rsidRPr="00752EF2">
              <w:rPr>
                <w:color w:val="0070C0"/>
              </w:rPr>
              <w:t>(when supported)</w:t>
            </w:r>
            <w:r w:rsidR="00752EF2" w:rsidRPr="00752EF2">
              <w:rPr>
                <w:color w:val="0070C0"/>
              </w:rPr>
              <w:t xml:space="preserve"> and </w:t>
            </w:r>
            <w:r w:rsidR="00752EF2">
              <w:rPr>
                <w:color w:val="0070C0"/>
              </w:rPr>
              <w:t>w</w:t>
            </w:r>
            <w:r w:rsidR="00386187" w:rsidRPr="00752EF2">
              <w:rPr>
                <w:color w:val="0070C0"/>
              </w:rPr>
              <w:t>ait for GOOSE messages</w:t>
            </w:r>
          </w:p>
          <w:p w14:paraId="1A33C3E1" w14:textId="4B5F8471" w:rsidR="006B438A" w:rsidRPr="006B438A" w:rsidRDefault="006B438A" w:rsidP="006B438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hanging="720"/>
            </w:pPr>
            <w:r w:rsidRPr="006B438A">
              <w:rPr>
                <w:color w:val="0070C0"/>
              </w:rPr>
              <w:t>Client sends GetGoCBValues request (when supported)</w:t>
            </w:r>
          </w:p>
        </w:tc>
      </w:tr>
      <w:tr w:rsidR="006B438A" w:rsidRPr="006B438A" w14:paraId="00643422" w14:textId="77777777" w:rsidTr="00D31023">
        <w:trPr>
          <w:trHeight w:val="20"/>
        </w:trPr>
        <w:tc>
          <w:tcPr>
            <w:tcW w:w="9639" w:type="dxa"/>
            <w:gridSpan w:val="3"/>
          </w:tcPr>
          <w:p w14:paraId="24D99061" w14:textId="77777777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6B438A">
              <w:rPr>
                <w:sz w:val="18"/>
                <w:szCs w:val="18"/>
                <w:u w:val="single"/>
              </w:rPr>
              <w:t>Comment</w:t>
            </w:r>
          </w:p>
          <w:p w14:paraId="4984A2BE" w14:textId="6EF1AB91" w:rsidR="006B438A" w:rsidRPr="006B438A" w:rsidRDefault="006B438A" w:rsidP="00D31023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EC78218" w14:textId="77777777" w:rsidR="006B438A" w:rsidRDefault="006B438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2CF50D4" w14:textId="77777777" w:rsidR="006B438A" w:rsidRDefault="006B438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37BCF29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16D59"/>
    <w:multiLevelType w:val="hybridMultilevel"/>
    <w:tmpl w:val="5AFE2C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6DAA"/>
    <w:multiLevelType w:val="hybridMultilevel"/>
    <w:tmpl w:val="D5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37CDE"/>
    <w:multiLevelType w:val="hybridMultilevel"/>
    <w:tmpl w:val="904C5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D0762"/>
    <w:multiLevelType w:val="hybridMultilevel"/>
    <w:tmpl w:val="904C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6"/>
  </w:num>
  <w:num w:numId="4" w16cid:durableId="476609445">
    <w:abstractNumId w:val="13"/>
  </w:num>
  <w:num w:numId="5" w16cid:durableId="497618404">
    <w:abstractNumId w:val="22"/>
  </w:num>
  <w:num w:numId="6" w16cid:durableId="207642123">
    <w:abstractNumId w:val="14"/>
  </w:num>
  <w:num w:numId="7" w16cid:durableId="690960104">
    <w:abstractNumId w:val="10"/>
  </w:num>
  <w:num w:numId="8" w16cid:durableId="1313439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1"/>
  </w:num>
  <w:num w:numId="11" w16cid:durableId="1381171993">
    <w:abstractNumId w:val="18"/>
  </w:num>
  <w:num w:numId="12" w16cid:durableId="949700495">
    <w:abstractNumId w:val="3"/>
  </w:num>
  <w:num w:numId="13" w16cid:durableId="87122813">
    <w:abstractNumId w:val="15"/>
  </w:num>
  <w:num w:numId="14" w16cid:durableId="883372272">
    <w:abstractNumId w:val="0"/>
  </w:num>
  <w:num w:numId="15" w16cid:durableId="1248729960">
    <w:abstractNumId w:val="16"/>
  </w:num>
  <w:num w:numId="16" w16cid:durableId="1645508187">
    <w:abstractNumId w:val="2"/>
  </w:num>
  <w:num w:numId="17" w16cid:durableId="419062032">
    <w:abstractNumId w:val="19"/>
  </w:num>
  <w:num w:numId="18" w16cid:durableId="469371622">
    <w:abstractNumId w:val="26"/>
  </w:num>
  <w:num w:numId="19" w16cid:durableId="591400556">
    <w:abstractNumId w:val="12"/>
  </w:num>
  <w:num w:numId="20" w16cid:durableId="1575973827">
    <w:abstractNumId w:val="7"/>
  </w:num>
  <w:num w:numId="21" w16cid:durableId="1532182698">
    <w:abstractNumId w:val="27"/>
  </w:num>
  <w:num w:numId="22" w16cid:durableId="405500297">
    <w:abstractNumId w:val="8"/>
  </w:num>
  <w:num w:numId="23" w16cid:durableId="1946420279">
    <w:abstractNumId w:val="24"/>
  </w:num>
  <w:num w:numId="24" w16cid:durableId="145635389">
    <w:abstractNumId w:val="17"/>
  </w:num>
  <w:num w:numId="25" w16cid:durableId="900292471">
    <w:abstractNumId w:val="20"/>
  </w:num>
  <w:num w:numId="26" w16cid:durableId="745079911">
    <w:abstractNumId w:val="1"/>
  </w:num>
  <w:num w:numId="27" w16cid:durableId="474226995">
    <w:abstractNumId w:val="23"/>
  </w:num>
  <w:num w:numId="28" w16cid:durableId="16486313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17B"/>
    <w:rsid w:val="000B3A83"/>
    <w:rsid w:val="002259AE"/>
    <w:rsid w:val="002276D6"/>
    <w:rsid w:val="00231F8C"/>
    <w:rsid w:val="002E3C66"/>
    <w:rsid w:val="002E5930"/>
    <w:rsid w:val="002F01B1"/>
    <w:rsid w:val="00302704"/>
    <w:rsid w:val="0038168D"/>
    <w:rsid w:val="00386187"/>
    <w:rsid w:val="0047145D"/>
    <w:rsid w:val="0049339B"/>
    <w:rsid w:val="004B15FB"/>
    <w:rsid w:val="00540862"/>
    <w:rsid w:val="005869F2"/>
    <w:rsid w:val="00630F3E"/>
    <w:rsid w:val="006B438A"/>
    <w:rsid w:val="00752E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table" w:customStyle="1" w:styleId="TestCaseTableStyle1">
    <w:name w:val="Test Case Table Style1"/>
    <w:basedOn w:val="TableNormal"/>
    <w:uiPriority w:val="99"/>
    <w:rsid w:val="006B438A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9</cp:revision>
  <dcterms:created xsi:type="dcterms:W3CDTF">2024-02-20T15:12:00Z</dcterms:created>
  <dcterms:modified xsi:type="dcterms:W3CDTF">2024-06-06T08:29:00Z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