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89FA" w14:textId="349FF693" w:rsidR="00764961" w:rsidRPr="00F7532D" w:rsidRDefault="00764961" w:rsidP="00764961">
      <w:pPr>
        <w:pStyle w:val="Heading2"/>
      </w:pPr>
      <w:bookmarkStart w:id="0" w:name="_Toc111899496"/>
      <w:r w:rsidRPr="00F7532D">
        <w:t>Modeling behind the inverter</w:t>
      </w:r>
      <w:bookmarkEnd w:id="0"/>
    </w:p>
    <w:p w14:paraId="77C3404A" w14:textId="0A38361E" w:rsidR="00764961" w:rsidRPr="00F7532D" w:rsidRDefault="00764961" w:rsidP="00764961">
      <w:pPr>
        <w:rPr>
          <w:color w:val="2F5496" w:themeColor="accent1" w:themeShade="BF"/>
        </w:rPr>
      </w:pPr>
      <w:r w:rsidRPr="00F7532D">
        <w:rPr>
          <w:color w:val="2F5496" w:themeColor="accent1" w:themeShade="BF"/>
        </w:rPr>
        <w:t>GMDM Issue #9</w:t>
      </w:r>
    </w:p>
    <w:p w14:paraId="213DE88E" w14:textId="53E339C0" w:rsidR="00764961" w:rsidRDefault="00764961" w:rsidP="00764961">
      <w:r>
        <w:t xml:space="preserve">The GMDM IOP model included a </w:t>
      </w:r>
      <w:proofErr w:type="spellStart"/>
      <w:r>
        <w:t>BatteryUnit</w:t>
      </w:r>
      <w:proofErr w:type="spellEnd"/>
      <w:r>
        <w:t xml:space="preserve">, </w:t>
      </w:r>
      <w:proofErr w:type="spellStart"/>
      <w:r>
        <w:t>PhotovoltaicUnit</w:t>
      </w:r>
      <w:proofErr w:type="spellEnd"/>
      <w:r>
        <w:t xml:space="preserve">, and </w:t>
      </w:r>
      <w:proofErr w:type="spellStart"/>
      <w:r>
        <w:t>WindPowerElectronicsUnit</w:t>
      </w:r>
      <w:proofErr w:type="spellEnd"/>
      <w:r>
        <w:t xml:space="preserve"> behind the same residential-sized inverter, i.e., behind a single </w:t>
      </w:r>
      <w:proofErr w:type="spellStart"/>
      <w:r>
        <w:t>PowerElectronicsConnection</w:t>
      </w:r>
      <w:proofErr w:type="spellEnd"/>
      <w:r>
        <w:t xml:space="preserve">. While theoretically possible, none of the known power flow solvers handle this. PNNL and EPRI both implemented a “virtual battery” concept that might be considered for behind-the-meter or behind-the-inverter resources. </w:t>
      </w:r>
    </w:p>
    <w:p w14:paraId="4E66FEDC" w14:textId="77777777" w:rsidR="00764961" w:rsidRDefault="00764961" w:rsidP="00764961">
      <w:pPr>
        <w:rPr>
          <w:color w:val="7030A0"/>
        </w:rPr>
      </w:pPr>
      <w:r>
        <w:rPr>
          <w:rFonts w:cstheme="minorHAnsi"/>
          <w:noProof/>
        </w:rPr>
        <w:drawing>
          <wp:inline distT="0" distB="0" distL="0" distR="0" wp14:anchorId="0A20888A" wp14:editId="1D22C8CA">
            <wp:extent cx="5438775" cy="3059312"/>
            <wp:effectExtent l="57150" t="57150" r="85725" b="103505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8158" cy="308146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F0F53EB" w14:textId="4F2B624D" w:rsidR="00764961" w:rsidRPr="00764961" w:rsidRDefault="00764961" w:rsidP="00764961">
      <w:r w:rsidRPr="00764961">
        <w:t>(See also the following references</w:t>
      </w:r>
    </w:p>
    <w:p w14:paraId="6A135162" w14:textId="77777777" w:rsidR="00764961" w:rsidRPr="001A0925" w:rsidRDefault="00F7532D" w:rsidP="00764961">
      <w:pPr>
        <w:pStyle w:val="ListParagraph"/>
        <w:numPr>
          <w:ilvl w:val="0"/>
          <w:numId w:val="1"/>
        </w:numPr>
        <w:ind w:left="720"/>
      </w:pPr>
      <w:hyperlink r:id="rId6" w:history="1">
        <w:r w:rsidR="00764961" w:rsidRPr="004C1CF5">
          <w:rPr>
            <w:rStyle w:val="Hyperlink"/>
          </w:rPr>
          <w:t>https://doi.org/10.1109/PESGM40551.2019.8974107</w:t>
        </w:r>
      </w:hyperlink>
      <w:r w:rsidR="00764961">
        <w:t xml:space="preserve"> </w:t>
      </w:r>
    </w:p>
    <w:p w14:paraId="022615D7" w14:textId="77777777" w:rsidR="00764961" w:rsidRPr="001A0925" w:rsidRDefault="00F7532D" w:rsidP="00764961">
      <w:pPr>
        <w:pStyle w:val="ListParagraph"/>
        <w:numPr>
          <w:ilvl w:val="0"/>
          <w:numId w:val="1"/>
        </w:numPr>
        <w:ind w:left="720"/>
        <w:rPr>
          <w:rFonts w:asciiTheme="majorHAnsi" w:eastAsiaTheme="majorEastAsia" w:hAnsiTheme="majorHAnsi" w:cstheme="majorBidi"/>
        </w:rPr>
      </w:pPr>
      <w:hyperlink r:id="rId7" w:history="1">
        <w:r w:rsidR="00764961" w:rsidRPr="004C1CF5">
          <w:rPr>
            <w:rStyle w:val="Hyperlink"/>
          </w:rPr>
          <w:t>https://doi.org/10.1109/JPROC.2020.2986378</w:t>
        </w:r>
      </w:hyperlink>
      <w:r w:rsidR="00764961" w:rsidRPr="001A0925">
        <w:rPr>
          <w:color w:val="7030A0"/>
        </w:rPr>
        <w:t>)</w:t>
      </w:r>
    </w:p>
    <w:p w14:paraId="6B3CC496" w14:textId="77777777" w:rsidR="007D1555" w:rsidRDefault="007D1555"/>
    <w:sectPr w:rsidR="007D1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42812"/>
    <w:multiLevelType w:val="hybridMultilevel"/>
    <w:tmpl w:val="0DDAD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961"/>
    <w:rsid w:val="003D4D87"/>
    <w:rsid w:val="00764961"/>
    <w:rsid w:val="007D1555"/>
    <w:rsid w:val="00F7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214BF"/>
  <w15:chartTrackingRefBased/>
  <w15:docId w15:val="{448D4D3A-8BAA-421F-A5FF-0118C4EA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96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9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49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649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49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i.org/10.1109/JPROC.2020.29863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109/PESGM40551.2019.8974107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>Electric Power Research Institute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</dc:creator>
  <cp:keywords/>
  <dc:description/>
  <cp:lastModifiedBy>Brown, Pat</cp:lastModifiedBy>
  <cp:revision>2</cp:revision>
  <dcterms:created xsi:type="dcterms:W3CDTF">2022-09-21T01:50:00Z</dcterms:created>
  <dcterms:modified xsi:type="dcterms:W3CDTF">2022-09-21T01:57:00Z</dcterms:modified>
</cp:coreProperties>
</file>